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CFC" w14:textId="5B774FA9" w:rsidR="00D600B6" w:rsidRDefault="00D600B6">
      <w:r>
        <w:rPr>
          <w:noProof/>
        </w:rPr>
        <w:drawing>
          <wp:inline distT="0" distB="0" distL="0" distR="0" wp14:anchorId="0FD98E0C" wp14:editId="282B1B88">
            <wp:extent cx="4584122" cy="2890622"/>
            <wp:effectExtent l="0" t="0" r="6985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5801206-56B0-4EF2-925C-3EFD6CD91E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71C6E" wp14:editId="02AA62C9">
            <wp:extent cx="4584122" cy="2890622"/>
            <wp:effectExtent l="0" t="0" r="6985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B6CCF09-69B5-4260-AE18-9B66EA36D8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B37EF99" w14:textId="77777777" w:rsidR="00D600B6" w:rsidRDefault="00D600B6">
      <w:r>
        <w:br w:type="page"/>
      </w:r>
    </w:p>
    <w:p w14:paraId="529C9119" w14:textId="4457A5FD" w:rsidR="006C51B5" w:rsidRDefault="00D600B6">
      <w:r>
        <w:rPr>
          <w:noProof/>
        </w:rPr>
        <w:drawing>
          <wp:inline distT="0" distB="0" distL="0" distR="0" wp14:anchorId="1C3A79D7" wp14:editId="0A60F304">
            <wp:extent cx="4584122" cy="2890621"/>
            <wp:effectExtent l="0" t="0" r="6985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478A15E-44A1-4068-9500-359A0854B4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87A3F6" w14:textId="444F9425" w:rsidR="00D600B6" w:rsidRDefault="00D600B6">
      <w:r>
        <w:rPr>
          <w:noProof/>
        </w:rPr>
        <w:drawing>
          <wp:inline distT="0" distB="0" distL="0" distR="0" wp14:anchorId="47328B91" wp14:editId="79211622">
            <wp:extent cx="4584122" cy="2890621"/>
            <wp:effectExtent l="0" t="0" r="6985" b="508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470FF23-C79A-4C8B-B997-4FDAF77444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F33545" w14:textId="77777777" w:rsidR="00D600B6" w:rsidRDefault="00D600B6">
      <w:r>
        <w:br w:type="page"/>
      </w:r>
    </w:p>
    <w:p w14:paraId="1351CDC4" w14:textId="1BB3876B" w:rsidR="00D600B6" w:rsidRDefault="00D600B6">
      <w:r>
        <w:rPr>
          <w:noProof/>
        </w:rPr>
        <w:drawing>
          <wp:inline distT="0" distB="0" distL="0" distR="0" wp14:anchorId="73D1DDD6" wp14:editId="55383F25">
            <wp:extent cx="4584122" cy="2928823"/>
            <wp:effectExtent l="0" t="0" r="6985" b="50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0A11181-B311-4BE7-8DA0-A0A7ACEF29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EDF5E" wp14:editId="258BF7BF">
            <wp:extent cx="4584122" cy="2928823"/>
            <wp:effectExtent l="0" t="0" r="6985" b="508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BC792D3-449F-477E-8EE8-999F4E261F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5EE624" w14:textId="77777777" w:rsidR="00D600B6" w:rsidRDefault="00D600B6">
      <w:r>
        <w:br w:type="page"/>
      </w:r>
    </w:p>
    <w:p w14:paraId="39556294" w14:textId="572F25D4" w:rsidR="00D600B6" w:rsidRDefault="00D600B6">
      <w:r>
        <w:rPr>
          <w:noProof/>
        </w:rPr>
        <w:drawing>
          <wp:inline distT="0" distB="0" distL="0" distR="0" wp14:anchorId="081DFB9D" wp14:editId="014A7C06">
            <wp:extent cx="4538662" cy="2875284"/>
            <wp:effectExtent l="0" t="0" r="0" b="127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A6E92D4-FB95-4E82-811C-20ED8B5058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CC112" wp14:editId="26978723">
            <wp:extent cx="4538662" cy="2875284"/>
            <wp:effectExtent l="0" t="0" r="0" b="127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F312CC56-E930-4D3E-AEE9-A5D0C013E3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CB2642" w14:textId="77777777" w:rsidR="00D600B6" w:rsidRDefault="00D600B6">
      <w:r>
        <w:br w:type="page"/>
      </w:r>
    </w:p>
    <w:p w14:paraId="03A11F01" w14:textId="72E67DD3" w:rsidR="00D600B6" w:rsidRDefault="00D600B6">
      <w:r>
        <w:rPr>
          <w:noProof/>
        </w:rPr>
        <w:drawing>
          <wp:inline distT="0" distB="0" distL="0" distR="0" wp14:anchorId="6600613D" wp14:editId="379F3CA6">
            <wp:extent cx="4538662" cy="2972699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CF953D9-99DC-45E2-BA51-90E9CA8288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F75F979" w14:textId="4C175B39" w:rsidR="00D600B6" w:rsidRDefault="00D600B6">
      <w:r>
        <w:rPr>
          <w:noProof/>
        </w:rPr>
        <w:drawing>
          <wp:inline distT="0" distB="0" distL="0" distR="0" wp14:anchorId="31E26FF5" wp14:editId="56EDE318">
            <wp:extent cx="4538664" cy="2972699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EA67127-39BD-4E4F-BA7C-30F3CCB3D9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137246" w14:textId="77777777" w:rsidR="00D600B6" w:rsidRDefault="00D600B6">
      <w:r>
        <w:br w:type="page"/>
      </w:r>
    </w:p>
    <w:p w14:paraId="20F402AD" w14:textId="07108214" w:rsidR="00D600B6" w:rsidRDefault="00D600B6">
      <w:r>
        <w:rPr>
          <w:noProof/>
        </w:rPr>
        <w:drawing>
          <wp:inline distT="0" distB="0" distL="0" distR="0" wp14:anchorId="63643CAC" wp14:editId="17788EF1">
            <wp:extent cx="4538662" cy="2969525"/>
            <wp:effectExtent l="0" t="0" r="0" b="254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20839A5F-B39B-4F5F-A4A7-FB50F1E0DB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F5AFA88" w14:textId="068E218A" w:rsidR="00D600B6" w:rsidRDefault="00D600B6">
      <w:r>
        <w:rPr>
          <w:noProof/>
        </w:rPr>
        <w:drawing>
          <wp:inline distT="0" distB="0" distL="0" distR="0" wp14:anchorId="7383686C" wp14:editId="1349EE26">
            <wp:extent cx="4538664" cy="2969524"/>
            <wp:effectExtent l="0" t="0" r="0" b="254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13BD57E7-AB13-474B-AA96-F14F1D06F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A95FA9" w14:textId="77777777" w:rsidR="00D600B6" w:rsidRDefault="00D600B6">
      <w:r>
        <w:br w:type="page"/>
      </w:r>
    </w:p>
    <w:p w14:paraId="790D193D" w14:textId="7E10186A" w:rsidR="00D600B6" w:rsidRDefault="00D600B6">
      <w:r>
        <w:rPr>
          <w:noProof/>
        </w:rPr>
        <w:drawing>
          <wp:inline distT="0" distB="0" distL="0" distR="0" wp14:anchorId="59580AE8" wp14:editId="21A74657">
            <wp:extent cx="4538662" cy="2920817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E397012F-9B34-45B8-94F7-9D5597C061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DA9883" wp14:editId="13199A2E">
            <wp:extent cx="4538664" cy="2927311"/>
            <wp:effectExtent l="0" t="0" r="0" b="698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337DA953-BD8D-4A80-8769-551452039E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858A27" w14:textId="77777777" w:rsidR="00D600B6" w:rsidRDefault="00D600B6">
      <w:r>
        <w:br w:type="page"/>
      </w:r>
    </w:p>
    <w:p w14:paraId="28DB3F17" w14:textId="46D9C101" w:rsidR="00D600B6" w:rsidRDefault="00D600B6">
      <w:r>
        <w:rPr>
          <w:noProof/>
        </w:rPr>
        <w:drawing>
          <wp:inline distT="0" distB="0" distL="0" distR="0" wp14:anchorId="6C6B808E" wp14:editId="732FAFBC">
            <wp:extent cx="4538662" cy="2872108"/>
            <wp:effectExtent l="0" t="0" r="0" b="444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EAF5F3DE-F818-44E6-8A70-A5BEDF0FA9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9EAF3C" wp14:editId="25B5501D">
            <wp:extent cx="4538664" cy="2872111"/>
            <wp:effectExtent l="0" t="0" r="0" b="4445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B29019F3-3BE9-4687-AB40-88FEB2C78D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ACE2226" w14:textId="77777777" w:rsidR="00D600B6" w:rsidRDefault="00D600B6">
      <w:r>
        <w:br w:type="page"/>
      </w:r>
    </w:p>
    <w:p w14:paraId="71002E71" w14:textId="7EE18957" w:rsidR="00D600B6" w:rsidRDefault="00D600B6">
      <w:pPr>
        <w:rPr>
          <w:rFonts w:ascii="Arial Black" w:hAnsi="Arial Black"/>
          <w:sz w:val="144"/>
          <w:szCs w:val="144"/>
        </w:rPr>
      </w:pPr>
    </w:p>
    <w:p w14:paraId="2D5ED268" w14:textId="77777777" w:rsidR="00D600B6" w:rsidRDefault="00D600B6">
      <w:pPr>
        <w:rPr>
          <w:rFonts w:ascii="Arial Black" w:hAnsi="Arial Black"/>
          <w:sz w:val="144"/>
          <w:szCs w:val="144"/>
        </w:rPr>
      </w:pPr>
    </w:p>
    <w:p w14:paraId="6FB3D7A0" w14:textId="61641A0C" w:rsidR="00D600B6" w:rsidRDefault="00D600B6">
      <w:pPr>
        <w:rPr>
          <w:rFonts w:ascii="Arial Black" w:hAnsi="Arial Black"/>
          <w:sz w:val="144"/>
          <w:szCs w:val="144"/>
        </w:rPr>
      </w:pPr>
    </w:p>
    <w:p w14:paraId="58482130" w14:textId="622E1EAE" w:rsidR="00D600B6" w:rsidRDefault="00D600B6">
      <w:pPr>
        <w:rPr>
          <w:rFonts w:ascii="Arial Black" w:hAnsi="Arial Black"/>
          <w:sz w:val="144"/>
          <w:szCs w:val="144"/>
        </w:rPr>
      </w:pPr>
    </w:p>
    <w:p w14:paraId="33F652D1" w14:textId="40AC09DC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Brazil</w:t>
      </w:r>
    </w:p>
    <w:p w14:paraId="3EA81CB2" w14:textId="4A281605" w:rsidR="00D600B6" w:rsidRDefault="00D600B6">
      <w:pPr>
        <w:rPr>
          <w:rFonts w:ascii="Arial Black" w:hAnsi="Arial Black"/>
          <w:sz w:val="144"/>
          <w:szCs w:val="144"/>
        </w:rPr>
      </w:pPr>
    </w:p>
    <w:p w14:paraId="032BED89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23FBFF94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35CC7C14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01648288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7DDA3208" w14:textId="2C848FE5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Canada</w:t>
      </w:r>
    </w:p>
    <w:p w14:paraId="74910D3E" w14:textId="77777777" w:rsidR="00D600B6" w:rsidRDefault="00D600B6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br w:type="page"/>
      </w:r>
    </w:p>
    <w:p w14:paraId="7BB6078B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114C61CD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3A50A427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4EF3535E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5032160B" w14:textId="3B939A30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EU</w:t>
      </w:r>
    </w:p>
    <w:p w14:paraId="288EFCE7" w14:textId="77777777" w:rsidR="00D600B6" w:rsidRDefault="00D600B6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br w:type="page"/>
      </w:r>
    </w:p>
    <w:p w14:paraId="1088FF1D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72AFC32A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5BDF14F9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00551D4D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2745CB43" w14:textId="7B277F72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Japan</w:t>
      </w:r>
    </w:p>
    <w:p w14:paraId="35512D74" w14:textId="06498A7E" w:rsidR="00D600B6" w:rsidRDefault="00D600B6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br w:type="page"/>
      </w:r>
    </w:p>
    <w:p w14:paraId="585AEC41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3326601E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624224F4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36E049C3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4E52C4F6" w14:textId="63EC2DBC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US</w:t>
      </w:r>
    </w:p>
    <w:p w14:paraId="76A361E8" w14:textId="77777777" w:rsidR="00D600B6" w:rsidRDefault="00D600B6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br w:type="page"/>
      </w:r>
    </w:p>
    <w:p w14:paraId="74EFEE99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33A16463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5194E6BB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242FAFF4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12586375" w14:textId="091C628C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China</w:t>
      </w:r>
    </w:p>
    <w:p w14:paraId="20FD4710" w14:textId="77777777" w:rsidR="00D600B6" w:rsidRDefault="00D600B6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br w:type="page"/>
      </w:r>
    </w:p>
    <w:p w14:paraId="2F9BFF1D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0E96CE42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4A7381D5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1FA23605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6327CE26" w14:textId="1A84676A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India</w:t>
      </w:r>
    </w:p>
    <w:p w14:paraId="64801FDA" w14:textId="77777777" w:rsidR="00D600B6" w:rsidRDefault="00D600B6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br w:type="page"/>
      </w:r>
    </w:p>
    <w:p w14:paraId="2252DFF0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6065C9AF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3BF73410" w14:textId="77777777" w:rsidR="00D600B6" w:rsidRDefault="00D600B6" w:rsidP="00D600B6">
      <w:pPr>
        <w:rPr>
          <w:rFonts w:ascii="Arial Black" w:hAnsi="Arial Black"/>
          <w:sz w:val="144"/>
          <w:szCs w:val="144"/>
        </w:rPr>
      </w:pPr>
    </w:p>
    <w:p w14:paraId="6571207D" w14:textId="77777777" w:rsid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</w:p>
    <w:p w14:paraId="064EDD17" w14:textId="5E7B7107" w:rsidR="00D600B6" w:rsidRPr="00D600B6" w:rsidRDefault="00D600B6" w:rsidP="00D600B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Indonesia</w:t>
      </w:r>
    </w:p>
    <w:sectPr w:rsidR="00D600B6" w:rsidRPr="00D60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0B6"/>
    <w:rsid w:val="00026269"/>
    <w:rsid w:val="000B64F9"/>
    <w:rsid w:val="000F4A90"/>
    <w:rsid w:val="00335E28"/>
    <w:rsid w:val="003C78B3"/>
    <w:rsid w:val="00416D44"/>
    <w:rsid w:val="006C51B5"/>
    <w:rsid w:val="007A1477"/>
    <w:rsid w:val="007D6C47"/>
    <w:rsid w:val="00864FA3"/>
    <w:rsid w:val="00A104E6"/>
    <w:rsid w:val="00D07C6E"/>
    <w:rsid w:val="00D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D4D85"/>
  <w15:chartTrackingRefBased/>
  <w15:docId w15:val="{7AD1495F-FC3E-4788-8ABA-FC343CC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pknut\Documents\Copy%20of%20carbon%20trading%20gam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Brazil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Sheet1!$A$6:$A$18</c:f>
              <c:numCache>
                <c:formatCode>General</c:formatCode>
                <c:ptCount val="13"/>
                <c:pt idx="0">
                  <c:v>76</c:v>
                </c:pt>
                <c:pt idx="1">
                  <c:v>78</c:v>
                </c:pt>
                <c:pt idx="2">
                  <c:v>80</c:v>
                </c:pt>
                <c:pt idx="3">
                  <c:v>82</c:v>
                </c:pt>
                <c:pt idx="4">
                  <c:v>84</c:v>
                </c:pt>
                <c:pt idx="5">
                  <c:v>86</c:v>
                </c:pt>
                <c:pt idx="6">
                  <c:v>88</c:v>
                </c:pt>
                <c:pt idx="7">
                  <c:v>90</c:v>
                </c:pt>
                <c:pt idx="8">
                  <c:v>92</c:v>
                </c:pt>
                <c:pt idx="9">
                  <c:v>94</c:v>
                </c:pt>
                <c:pt idx="10">
                  <c:v>96</c:v>
                </c:pt>
                <c:pt idx="11">
                  <c:v>98</c:v>
                </c:pt>
                <c:pt idx="12">
                  <c:v>100</c:v>
                </c:pt>
              </c:numCache>
            </c:numRef>
          </c:cat>
          <c:val>
            <c:numRef>
              <c:f>Sheet1!$B$6:$B$18</c:f>
              <c:numCache>
                <c:formatCode>General</c:formatCode>
                <c:ptCount val="13"/>
                <c:pt idx="0">
                  <c:v>400</c:v>
                </c:pt>
                <c:pt idx="1">
                  <c:v>340</c:v>
                </c:pt>
                <c:pt idx="2">
                  <c:v>280</c:v>
                </c:pt>
                <c:pt idx="3">
                  <c:v>220</c:v>
                </c:pt>
                <c:pt idx="4">
                  <c:v>180</c:v>
                </c:pt>
                <c:pt idx="5">
                  <c:v>150</c:v>
                </c:pt>
                <c:pt idx="6">
                  <c:v>120</c:v>
                </c:pt>
                <c:pt idx="7">
                  <c:v>100</c:v>
                </c:pt>
                <c:pt idx="8">
                  <c:v>80</c:v>
                </c:pt>
                <c:pt idx="9">
                  <c:v>60</c:v>
                </c:pt>
                <c:pt idx="10">
                  <c:v>40</c:v>
                </c:pt>
                <c:pt idx="11">
                  <c:v>20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6E-447E-BD31-94787F883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Sheet1!$B$2</c:f>
              <c:strCache>
                <c:ptCount val="1"/>
                <c:pt idx="0">
                  <c:v>MCA (US$/tonne)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Sheet1!$M$1</c:f>
          <c:strCache>
            <c:ptCount val="1"/>
            <c:pt idx="0">
              <c:v>US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Sheet1!$M$3:$M$18</c:f>
              <c:numCache>
                <c:formatCode>General</c:formatCode>
                <c:ptCount val="16"/>
                <c:pt idx="0">
                  <c:v>980</c:v>
                </c:pt>
                <c:pt idx="1">
                  <c:v>1008</c:v>
                </c:pt>
                <c:pt idx="2">
                  <c:v>1036</c:v>
                </c:pt>
                <c:pt idx="3">
                  <c:v>1064</c:v>
                </c:pt>
                <c:pt idx="4">
                  <c:v>1092</c:v>
                </c:pt>
                <c:pt idx="5">
                  <c:v>1120</c:v>
                </c:pt>
                <c:pt idx="6">
                  <c:v>1148</c:v>
                </c:pt>
                <c:pt idx="7">
                  <c:v>1176</c:v>
                </c:pt>
                <c:pt idx="8">
                  <c:v>1204</c:v>
                </c:pt>
                <c:pt idx="9">
                  <c:v>1232</c:v>
                </c:pt>
                <c:pt idx="10">
                  <c:v>1260</c:v>
                </c:pt>
                <c:pt idx="11">
                  <c:v>1288</c:v>
                </c:pt>
                <c:pt idx="12">
                  <c:v>1316</c:v>
                </c:pt>
                <c:pt idx="13">
                  <c:v>1344</c:v>
                </c:pt>
                <c:pt idx="14">
                  <c:v>1372</c:v>
                </c:pt>
                <c:pt idx="15">
                  <c:v>1400</c:v>
                </c:pt>
              </c:numCache>
            </c:numRef>
          </c:cat>
          <c:val>
            <c:numRef>
              <c:f>Sheet1!$O$3:$O$18</c:f>
              <c:numCache>
                <c:formatCode>General</c:formatCode>
                <c:ptCount val="16"/>
                <c:pt idx="0">
                  <c:v>26600</c:v>
                </c:pt>
                <c:pt idx="1">
                  <c:v>21000</c:v>
                </c:pt>
                <c:pt idx="2">
                  <c:v>16520</c:v>
                </c:pt>
                <c:pt idx="3">
                  <c:v>13160</c:v>
                </c:pt>
                <c:pt idx="4">
                  <c:v>10360</c:v>
                </c:pt>
                <c:pt idx="5">
                  <c:v>8120</c:v>
                </c:pt>
                <c:pt idx="6">
                  <c:v>6440</c:v>
                </c:pt>
                <c:pt idx="7">
                  <c:v>5040</c:v>
                </c:pt>
                <c:pt idx="8">
                  <c:v>3920</c:v>
                </c:pt>
                <c:pt idx="9">
                  <c:v>2940</c:v>
                </c:pt>
                <c:pt idx="10">
                  <c:v>2100</c:v>
                </c:pt>
                <c:pt idx="11">
                  <c:v>1400</c:v>
                </c:pt>
                <c:pt idx="12">
                  <c:v>840</c:v>
                </c:pt>
                <c:pt idx="13">
                  <c:v>420</c:v>
                </c:pt>
                <c:pt idx="14">
                  <c:v>140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8B-419E-B47D-1182BD348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Sheet1!$I$2</c:f>
              <c:strCache>
                <c:ptCount val="1"/>
                <c:pt idx="0">
                  <c:v>TCA (million $)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Sheet1!$A$19</c:f>
          <c:strCache>
            <c:ptCount val="1"/>
            <c:pt idx="0">
              <c:v>China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Sheet1!$A$20:$A$40</c:f>
              <c:numCache>
                <c:formatCode>General</c:formatCode>
                <c:ptCount val="21"/>
                <c:pt idx="0">
                  <c:v>840</c:v>
                </c:pt>
                <c:pt idx="1">
                  <c:v>868</c:v>
                </c:pt>
                <c:pt idx="2">
                  <c:v>896</c:v>
                </c:pt>
                <c:pt idx="3">
                  <c:v>924</c:v>
                </c:pt>
                <c:pt idx="4">
                  <c:v>952</c:v>
                </c:pt>
                <c:pt idx="5">
                  <c:v>980</c:v>
                </c:pt>
                <c:pt idx="6">
                  <c:v>1008</c:v>
                </c:pt>
                <c:pt idx="7">
                  <c:v>1036</c:v>
                </c:pt>
                <c:pt idx="8">
                  <c:v>1064</c:v>
                </c:pt>
                <c:pt idx="9">
                  <c:v>1092</c:v>
                </c:pt>
                <c:pt idx="10">
                  <c:v>1120</c:v>
                </c:pt>
                <c:pt idx="11">
                  <c:v>1148</c:v>
                </c:pt>
                <c:pt idx="12">
                  <c:v>1176</c:v>
                </c:pt>
                <c:pt idx="13">
                  <c:v>1204</c:v>
                </c:pt>
                <c:pt idx="14">
                  <c:v>1232</c:v>
                </c:pt>
                <c:pt idx="15">
                  <c:v>1260</c:v>
                </c:pt>
                <c:pt idx="16">
                  <c:v>1288</c:v>
                </c:pt>
                <c:pt idx="17">
                  <c:v>1316</c:v>
                </c:pt>
                <c:pt idx="18">
                  <c:v>1344</c:v>
                </c:pt>
                <c:pt idx="19">
                  <c:v>1372</c:v>
                </c:pt>
                <c:pt idx="20">
                  <c:v>1400</c:v>
                </c:pt>
              </c:numCache>
            </c:numRef>
          </c:cat>
          <c:val>
            <c:numRef>
              <c:f>Sheet1!$B$20:$B$40</c:f>
              <c:numCache>
                <c:formatCode>General</c:formatCode>
                <c:ptCount val="21"/>
                <c:pt idx="0">
                  <c:v>60</c:v>
                </c:pt>
                <c:pt idx="1">
                  <c:v>56</c:v>
                </c:pt>
                <c:pt idx="2">
                  <c:v>52</c:v>
                </c:pt>
                <c:pt idx="3">
                  <c:v>48</c:v>
                </c:pt>
                <c:pt idx="4">
                  <c:v>44</c:v>
                </c:pt>
                <c:pt idx="5">
                  <c:v>40</c:v>
                </c:pt>
                <c:pt idx="6">
                  <c:v>36</c:v>
                </c:pt>
                <c:pt idx="7">
                  <c:v>32</c:v>
                </c:pt>
                <c:pt idx="8">
                  <c:v>28</c:v>
                </c:pt>
                <c:pt idx="9">
                  <c:v>24</c:v>
                </c:pt>
                <c:pt idx="10">
                  <c:v>20</c:v>
                </c:pt>
                <c:pt idx="11">
                  <c:v>16</c:v>
                </c:pt>
                <c:pt idx="12">
                  <c:v>13</c:v>
                </c:pt>
                <c:pt idx="13">
                  <c:v>10</c:v>
                </c:pt>
                <c:pt idx="14">
                  <c:v>7</c:v>
                </c:pt>
                <c:pt idx="15">
                  <c:v>5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5-4127-8F33-337DA5F8E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Sheet1!$B$2</c:f>
              <c:strCache>
                <c:ptCount val="1"/>
                <c:pt idx="0">
                  <c:v>MCA (US$/tonne)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Sheet1!$A$19</c:f>
          <c:strCache>
            <c:ptCount val="1"/>
            <c:pt idx="0">
              <c:v>China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Sheet1!$A$20:$A$40</c:f>
              <c:numCache>
                <c:formatCode>General</c:formatCode>
                <c:ptCount val="21"/>
                <c:pt idx="0">
                  <c:v>840</c:v>
                </c:pt>
                <c:pt idx="1">
                  <c:v>868</c:v>
                </c:pt>
                <c:pt idx="2">
                  <c:v>896</c:v>
                </c:pt>
                <c:pt idx="3">
                  <c:v>924</c:v>
                </c:pt>
                <c:pt idx="4">
                  <c:v>952</c:v>
                </c:pt>
                <c:pt idx="5">
                  <c:v>980</c:v>
                </c:pt>
                <c:pt idx="6">
                  <c:v>1008</c:v>
                </c:pt>
                <c:pt idx="7">
                  <c:v>1036</c:v>
                </c:pt>
                <c:pt idx="8">
                  <c:v>1064</c:v>
                </c:pt>
                <c:pt idx="9">
                  <c:v>1092</c:v>
                </c:pt>
                <c:pt idx="10">
                  <c:v>1120</c:v>
                </c:pt>
                <c:pt idx="11">
                  <c:v>1148</c:v>
                </c:pt>
                <c:pt idx="12">
                  <c:v>1176</c:v>
                </c:pt>
                <c:pt idx="13">
                  <c:v>1204</c:v>
                </c:pt>
                <c:pt idx="14">
                  <c:v>1232</c:v>
                </c:pt>
                <c:pt idx="15">
                  <c:v>1260</c:v>
                </c:pt>
                <c:pt idx="16">
                  <c:v>1288</c:v>
                </c:pt>
                <c:pt idx="17">
                  <c:v>1316</c:v>
                </c:pt>
                <c:pt idx="18">
                  <c:v>1344</c:v>
                </c:pt>
                <c:pt idx="19">
                  <c:v>1372</c:v>
                </c:pt>
                <c:pt idx="20">
                  <c:v>1400</c:v>
                </c:pt>
              </c:numCache>
            </c:numRef>
          </c:cat>
          <c:val>
            <c:numRef>
              <c:f>Sheet1!$C$20:$C$40</c:f>
              <c:numCache>
                <c:formatCode>General</c:formatCode>
                <c:ptCount val="21"/>
                <c:pt idx="0">
                  <c:v>14028</c:v>
                </c:pt>
                <c:pt idx="1">
                  <c:v>12348</c:v>
                </c:pt>
                <c:pt idx="2">
                  <c:v>10780</c:v>
                </c:pt>
                <c:pt idx="3">
                  <c:v>9324</c:v>
                </c:pt>
                <c:pt idx="4">
                  <c:v>7980</c:v>
                </c:pt>
                <c:pt idx="5">
                  <c:v>6748</c:v>
                </c:pt>
                <c:pt idx="6">
                  <c:v>5628</c:v>
                </c:pt>
                <c:pt idx="7">
                  <c:v>4620</c:v>
                </c:pt>
                <c:pt idx="8">
                  <c:v>3724</c:v>
                </c:pt>
                <c:pt idx="9">
                  <c:v>2940</c:v>
                </c:pt>
                <c:pt idx="10">
                  <c:v>2268</c:v>
                </c:pt>
                <c:pt idx="11">
                  <c:v>1708</c:v>
                </c:pt>
                <c:pt idx="12">
                  <c:v>1260</c:v>
                </c:pt>
                <c:pt idx="13">
                  <c:v>896</c:v>
                </c:pt>
                <c:pt idx="14">
                  <c:v>616</c:v>
                </c:pt>
                <c:pt idx="15">
                  <c:v>420</c:v>
                </c:pt>
                <c:pt idx="16">
                  <c:v>280</c:v>
                </c:pt>
                <c:pt idx="17">
                  <c:v>168</c:v>
                </c:pt>
                <c:pt idx="18">
                  <c:v>84</c:v>
                </c:pt>
                <c:pt idx="19">
                  <c:v>28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6D-4683-89FC-D39CDF6FA6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Sheet1!$I$2</c:f>
              <c:strCache>
                <c:ptCount val="1"/>
                <c:pt idx="0">
                  <c:v>TCA (million $)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Sheet1!$D$19</c:f>
          <c:strCache>
            <c:ptCount val="1"/>
            <c:pt idx="0">
              <c:v>India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Sheet1!$D$20:$D$40</c:f>
              <c:numCache>
                <c:formatCode>General</c:formatCode>
                <c:ptCount val="21"/>
                <c:pt idx="0">
                  <c:v>600</c:v>
                </c:pt>
                <c:pt idx="1">
                  <c:v>620</c:v>
                </c:pt>
                <c:pt idx="2">
                  <c:v>640</c:v>
                </c:pt>
                <c:pt idx="3">
                  <c:v>660</c:v>
                </c:pt>
                <c:pt idx="4">
                  <c:v>680</c:v>
                </c:pt>
                <c:pt idx="5">
                  <c:v>700</c:v>
                </c:pt>
                <c:pt idx="6">
                  <c:v>720</c:v>
                </c:pt>
                <c:pt idx="7">
                  <c:v>740</c:v>
                </c:pt>
                <c:pt idx="8">
                  <c:v>760</c:v>
                </c:pt>
                <c:pt idx="9">
                  <c:v>780</c:v>
                </c:pt>
                <c:pt idx="10">
                  <c:v>800</c:v>
                </c:pt>
                <c:pt idx="11">
                  <c:v>820</c:v>
                </c:pt>
                <c:pt idx="12">
                  <c:v>840</c:v>
                </c:pt>
                <c:pt idx="13">
                  <c:v>860</c:v>
                </c:pt>
                <c:pt idx="14">
                  <c:v>880</c:v>
                </c:pt>
                <c:pt idx="15">
                  <c:v>900</c:v>
                </c:pt>
                <c:pt idx="16">
                  <c:v>920</c:v>
                </c:pt>
                <c:pt idx="17">
                  <c:v>940</c:v>
                </c:pt>
                <c:pt idx="18">
                  <c:v>960</c:v>
                </c:pt>
                <c:pt idx="19">
                  <c:v>980</c:v>
                </c:pt>
                <c:pt idx="20">
                  <c:v>1000</c:v>
                </c:pt>
              </c:numCache>
            </c:numRef>
          </c:cat>
          <c:val>
            <c:numRef>
              <c:f>Sheet1!$E$20:$E$40</c:f>
              <c:numCache>
                <c:formatCode>General</c:formatCode>
                <c:ptCount val="21"/>
                <c:pt idx="0">
                  <c:v>90</c:v>
                </c:pt>
                <c:pt idx="1">
                  <c:v>80</c:v>
                </c:pt>
                <c:pt idx="2">
                  <c:v>70</c:v>
                </c:pt>
                <c:pt idx="3">
                  <c:v>60</c:v>
                </c:pt>
                <c:pt idx="4">
                  <c:v>55</c:v>
                </c:pt>
                <c:pt idx="5">
                  <c:v>50</c:v>
                </c:pt>
                <c:pt idx="6">
                  <c:v>42</c:v>
                </c:pt>
                <c:pt idx="7">
                  <c:v>36</c:v>
                </c:pt>
                <c:pt idx="8">
                  <c:v>30</c:v>
                </c:pt>
                <c:pt idx="9">
                  <c:v>25</c:v>
                </c:pt>
                <c:pt idx="10">
                  <c:v>20</c:v>
                </c:pt>
                <c:pt idx="11">
                  <c:v>16</c:v>
                </c:pt>
                <c:pt idx="12">
                  <c:v>13</c:v>
                </c:pt>
                <c:pt idx="13">
                  <c:v>10</c:v>
                </c:pt>
                <c:pt idx="14">
                  <c:v>7</c:v>
                </c:pt>
                <c:pt idx="15">
                  <c:v>5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62-4872-8063-935C64219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Sheet1!$B$2</c:f>
              <c:strCache>
                <c:ptCount val="1"/>
                <c:pt idx="0">
                  <c:v>MCA (US$/tonne)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Sheet1!$D$19</c:f>
          <c:strCache>
            <c:ptCount val="1"/>
            <c:pt idx="0">
              <c:v>India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Sheet1!$D$20:$D$40</c:f>
              <c:numCache>
                <c:formatCode>General</c:formatCode>
                <c:ptCount val="21"/>
                <c:pt idx="0">
                  <c:v>600</c:v>
                </c:pt>
                <c:pt idx="1">
                  <c:v>620</c:v>
                </c:pt>
                <c:pt idx="2">
                  <c:v>640</c:v>
                </c:pt>
                <c:pt idx="3">
                  <c:v>660</c:v>
                </c:pt>
                <c:pt idx="4">
                  <c:v>680</c:v>
                </c:pt>
                <c:pt idx="5">
                  <c:v>700</c:v>
                </c:pt>
                <c:pt idx="6">
                  <c:v>720</c:v>
                </c:pt>
                <c:pt idx="7">
                  <c:v>740</c:v>
                </c:pt>
                <c:pt idx="8">
                  <c:v>760</c:v>
                </c:pt>
                <c:pt idx="9">
                  <c:v>780</c:v>
                </c:pt>
                <c:pt idx="10">
                  <c:v>800</c:v>
                </c:pt>
                <c:pt idx="11">
                  <c:v>820</c:v>
                </c:pt>
                <c:pt idx="12">
                  <c:v>840</c:v>
                </c:pt>
                <c:pt idx="13">
                  <c:v>860</c:v>
                </c:pt>
                <c:pt idx="14">
                  <c:v>880</c:v>
                </c:pt>
                <c:pt idx="15">
                  <c:v>900</c:v>
                </c:pt>
                <c:pt idx="16">
                  <c:v>920</c:v>
                </c:pt>
                <c:pt idx="17">
                  <c:v>940</c:v>
                </c:pt>
                <c:pt idx="18">
                  <c:v>960</c:v>
                </c:pt>
                <c:pt idx="19">
                  <c:v>980</c:v>
                </c:pt>
                <c:pt idx="20">
                  <c:v>1000</c:v>
                </c:pt>
              </c:numCache>
            </c:numRef>
          </c:cat>
          <c:val>
            <c:numRef>
              <c:f>Sheet1!$F$20:$F$40</c:f>
              <c:numCache>
                <c:formatCode>General</c:formatCode>
                <c:ptCount val="21"/>
                <c:pt idx="0">
                  <c:v>12380</c:v>
                </c:pt>
                <c:pt idx="1">
                  <c:v>10580</c:v>
                </c:pt>
                <c:pt idx="2">
                  <c:v>8980</c:v>
                </c:pt>
                <c:pt idx="3">
                  <c:v>7580</c:v>
                </c:pt>
                <c:pt idx="4">
                  <c:v>6330</c:v>
                </c:pt>
                <c:pt idx="5">
                  <c:v>5280</c:v>
                </c:pt>
                <c:pt idx="6">
                  <c:v>4280</c:v>
                </c:pt>
                <c:pt idx="7">
                  <c:v>3440</c:v>
                </c:pt>
                <c:pt idx="8">
                  <c:v>2720</c:v>
                </c:pt>
                <c:pt idx="9">
                  <c:v>2120</c:v>
                </c:pt>
                <c:pt idx="10">
                  <c:v>1620</c:v>
                </c:pt>
                <c:pt idx="11">
                  <c:v>1220</c:v>
                </c:pt>
                <c:pt idx="12">
                  <c:v>900</c:v>
                </c:pt>
                <c:pt idx="13">
                  <c:v>640</c:v>
                </c:pt>
                <c:pt idx="14">
                  <c:v>440</c:v>
                </c:pt>
                <c:pt idx="15">
                  <c:v>300</c:v>
                </c:pt>
                <c:pt idx="16">
                  <c:v>200</c:v>
                </c:pt>
                <c:pt idx="17">
                  <c:v>120</c:v>
                </c:pt>
                <c:pt idx="18">
                  <c:v>60</c:v>
                </c:pt>
                <c:pt idx="19">
                  <c:v>20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F-436D-9296-65A6E62C8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Sheet1!$I$2</c:f>
              <c:strCache>
                <c:ptCount val="1"/>
                <c:pt idx="0">
                  <c:v>TCA (million $)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Sheet1!$G$19</c:f>
          <c:strCache>
            <c:ptCount val="1"/>
            <c:pt idx="0">
              <c:v>Indonesia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Sheet1!$G$20:$G$40</c:f>
              <c:numCache>
                <c:formatCode>General</c:formatCode>
                <c:ptCount val="21"/>
                <c:pt idx="0">
                  <c:v>60</c:v>
                </c:pt>
                <c:pt idx="1">
                  <c:v>62</c:v>
                </c:pt>
                <c:pt idx="2">
                  <c:v>64</c:v>
                </c:pt>
                <c:pt idx="3">
                  <c:v>66</c:v>
                </c:pt>
                <c:pt idx="4">
                  <c:v>68</c:v>
                </c:pt>
                <c:pt idx="5">
                  <c:v>70</c:v>
                </c:pt>
                <c:pt idx="6">
                  <c:v>72</c:v>
                </c:pt>
                <c:pt idx="7">
                  <c:v>74</c:v>
                </c:pt>
                <c:pt idx="8">
                  <c:v>76</c:v>
                </c:pt>
                <c:pt idx="9">
                  <c:v>78</c:v>
                </c:pt>
                <c:pt idx="10">
                  <c:v>80</c:v>
                </c:pt>
                <c:pt idx="11">
                  <c:v>82</c:v>
                </c:pt>
                <c:pt idx="12">
                  <c:v>84</c:v>
                </c:pt>
                <c:pt idx="13">
                  <c:v>86</c:v>
                </c:pt>
                <c:pt idx="14">
                  <c:v>88</c:v>
                </c:pt>
                <c:pt idx="15">
                  <c:v>90</c:v>
                </c:pt>
                <c:pt idx="16">
                  <c:v>92</c:v>
                </c:pt>
                <c:pt idx="17">
                  <c:v>94</c:v>
                </c:pt>
                <c:pt idx="18">
                  <c:v>96</c:v>
                </c:pt>
                <c:pt idx="19">
                  <c:v>98</c:v>
                </c:pt>
                <c:pt idx="20">
                  <c:v>100</c:v>
                </c:pt>
              </c:numCache>
            </c:numRef>
          </c:cat>
          <c:val>
            <c:numRef>
              <c:f>Sheet1!$H$20:$H$40</c:f>
              <c:numCache>
                <c:formatCode>General</c:formatCode>
                <c:ptCount val="21"/>
                <c:pt idx="0">
                  <c:v>150</c:v>
                </c:pt>
                <c:pt idx="1">
                  <c:v>125</c:v>
                </c:pt>
                <c:pt idx="2">
                  <c:v>110</c:v>
                </c:pt>
                <c:pt idx="3">
                  <c:v>100</c:v>
                </c:pt>
                <c:pt idx="4">
                  <c:v>90</c:v>
                </c:pt>
                <c:pt idx="5">
                  <c:v>80</c:v>
                </c:pt>
                <c:pt idx="6">
                  <c:v>70</c:v>
                </c:pt>
                <c:pt idx="7">
                  <c:v>60</c:v>
                </c:pt>
                <c:pt idx="8">
                  <c:v>50</c:v>
                </c:pt>
                <c:pt idx="9">
                  <c:v>40</c:v>
                </c:pt>
                <c:pt idx="10">
                  <c:v>30</c:v>
                </c:pt>
                <c:pt idx="11">
                  <c:v>26</c:v>
                </c:pt>
                <c:pt idx="12">
                  <c:v>22</c:v>
                </c:pt>
                <c:pt idx="13">
                  <c:v>18</c:v>
                </c:pt>
                <c:pt idx="14">
                  <c:v>15</c:v>
                </c:pt>
                <c:pt idx="15">
                  <c:v>10</c:v>
                </c:pt>
                <c:pt idx="16">
                  <c:v>8</c:v>
                </c:pt>
                <c:pt idx="17">
                  <c:v>6</c:v>
                </c:pt>
                <c:pt idx="18">
                  <c:v>4</c:v>
                </c:pt>
                <c:pt idx="19">
                  <c:v>2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0-4D66-9391-70AB6E5B6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Sheet1!$B$2</c:f>
              <c:strCache>
                <c:ptCount val="1"/>
                <c:pt idx="0">
                  <c:v>MCA (US$/tonne)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Sheet1!$G$19</c:f>
          <c:strCache>
            <c:ptCount val="1"/>
            <c:pt idx="0">
              <c:v>Indonesia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Sheet1!$G$20:$G$40</c:f>
              <c:numCache>
                <c:formatCode>General</c:formatCode>
                <c:ptCount val="21"/>
                <c:pt idx="0">
                  <c:v>60</c:v>
                </c:pt>
                <c:pt idx="1">
                  <c:v>62</c:v>
                </c:pt>
                <c:pt idx="2">
                  <c:v>64</c:v>
                </c:pt>
                <c:pt idx="3">
                  <c:v>66</c:v>
                </c:pt>
                <c:pt idx="4">
                  <c:v>68</c:v>
                </c:pt>
                <c:pt idx="5">
                  <c:v>70</c:v>
                </c:pt>
                <c:pt idx="6">
                  <c:v>72</c:v>
                </c:pt>
                <c:pt idx="7">
                  <c:v>74</c:v>
                </c:pt>
                <c:pt idx="8">
                  <c:v>76</c:v>
                </c:pt>
                <c:pt idx="9">
                  <c:v>78</c:v>
                </c:pt>
                <c:pt idx="10">
                  <c:v>80</c:v>
                </c:pt>
                <c:pt idx="11">
                  <c:v>82</c:v>
                </c:pt>
                <c:pt idx="12">
                  <c:v>84</c:v>
                </c:pt>
                <c:pt idx="13">
                  <c:v>86</c:v>
                </c:pt>
                <c:pt idx="14">
                  <c:v>88</c:v>
                </c:pt>
                <c:pt idx="15">
                  <c:v>90</c:v>
                </c:pt>
                <c:pt idx="16">
                  <c:v>92</c:v>
                </c:pt>
                <c:pt idx="17">
                  <c:v>94</c:v>
                </c:pt>
                <c:pt idx="18">
                  <c:v>96</c:v>
                </c:pt>
                <c:pt idx="19">
                  <c:v>98</c:v>
                </c:pt>
                <c:pt idx="20">
                  <c:v>100</c:v>
                </c:pt>
              </c:numCache>
            </c:numRef>
          </c:cat>
          <c:val>
            <c:numRef>
              <c:f>Sheet1!$I$20:$I$40</c:f>
              <c:numCache>
                <c:formatCode>General</c:formatCode>
                <c:ptCount val="21"/>
                <c:pt idx="0">
                  <c:v>2030</c:v>
                </c:pt>
                <c:pt idx="1">
                  <c:v>1730</c:v>
                </c:pt>
                <c:pt idx="2">
                  <c:v>1480</c:v>
                </c:pt>
                <c:pt idx="3">
                  <c:v>1260</c:v>
                </c:pt>
                <c:pt idx="4">
                  <c:v>1060</c:v>
                </c:pt>
                <c:pt idx="5">
                  <c:v>880</c:v>
                </c:pt>
                <c:pt idx="6">
                  <c:v>720</c:v>
                </c:pt>
                <c:pt idx="7">
                  <c:v>580</c:v>
                </c:pt>
                <c:pt idx="8">
                  <c:v>460</c:v>
                </c:pt>
                <c:pt idx="9">
                  <c:v>360</c:v>
                </c:pt>
                <c:pt idx="10">
                  <c:v>280</c:v>
                </c:pt>
                <c:pt idx="11">
                  <c:v>220</c:v>
                </c:pt>
                <c:pt idx="12">
                  <c:v>168</c:v>
                </c:pt>
                <c:pt idx="13">
                  <c:v>124</c:v>
                </c:pt>
                <c:pt idx="14">
                  <c:v>80</c:v>
                </c:pt>
                <c:pt idx="15">
                  <c:v>60</c:v>
                </c:pt>
                <c:pt idx="16">
                  <c:v>40</c:v>
                </c:pt>
                <c:pt idx="17">
                  <c:v>24</c:v>
                </c:pt>
                <c:pt idx="18">
                  <c:v>12</c:v>
                </c:pt>
                <c:pt idx="19">
                  <c:v>4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6-4CCB-8883-5BC797290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Sheet1!$I$2</c:f>
              <c:strCache>
                <c:ptCount val="1"/>
                <c:pt idx="0">
                  <c:v>TCA (million $)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Brazil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Sheet1!$A$6:$A$18</c:f>
              <c:numCache>
                <c:formatCode>General</c:formatCode>
                <c:ptCount val="13"/>
                <c:pt idx="0">
                  <c:v>76</c:v>
                </c:pt>
                <c:pt idx="1">
                  <c:v>78</c:v>
                </c:pt>
                <c:pt idx="2">
                  <c:v>80</c:v>
                </c:pt>
                <c:pt idx="3">
                  <c:v>82</c:v>
                </c:pt>
                <c:pt idx="4">
                  <c:v>84</c:v>
                </c:pt>
                <c:pt idx="5">
                  <c:v>86</c:v>
                </c:pt>
                <c:pt idx="6">
                  <c:v>88</c:v>
                </c:pt>
                <c:pt idx="7">
                  <c:v>90</c:v>
                </c:pt>
                <c:pt idx="8">
                  <c:v>92</c:v>
                </c:pt>
                <c:pt idx="9">
                  <c:v>94</c:v>
                </c:pt>
                <c:pt idx="10">
                  <c:v>96</c:v>
                </c:pt>
                <c:pt idx="11">
                  <c:v>98</c:v>
                </c:pt>
                <c:pt idx="12">
                  <c:v>100</c:v>
                </c:pt>
              </c:numCache>
            </c:numRef>
          </c:cat>
          <c:val>
            <c:numRef>
              <c:f>Sheet1!$C$6:$C$18</c:f>
              <c:numCache>
                <c:formatCode>General</c:formatCode>
                <c:ptCount val="13"/>
                <c:pt idx="0">
                  <c:v>3980</c:v>
                </c:pt>
                <c:pt idx="1">
                  <c:v>3180</c:v>
                </c:pt>
                <c:pt idx="2">
                  <c:v>2500</c:v>
                </c:pt>
                <c:pt idx="3">
                  <c:v>1940</c:v>
                </c:pt>
                <c:pt idx="4">
                  <c:v>1500</c:v>
                </c:pt>
                <c:pt idx="5">
                  <c:v>1140</c:v>
                </c:pt>
                <c:pt idx="6">
                  <c:v>840</c:v>
                </c:pt>
                <c:pt idx="7">
                  <c:v>600</c:v>
                </c:pt>
                <c:pt idx="8">
                  <c:v>400</c:v>
                </c:pt>
                <c:pt idx="9">
                  <c:v>240</c:v>
                </c:pt>
                <c:pt idx="10">
                  <c:v>120</c:v>
                </c:pt>
                <c:pt idx="11">
                  <c:v>40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7B-4608-BC72-C678C0F22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Sheet1!$D$1</c:f>
          <c:strCache>
            <c:ptCount val="1"/>
            <c:pt idx="0">
              <c:v>Canada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Sheet1!$D$3:$D$18</c:f>
              <c:numCache>
                <c:formatCode>General</c:formatCode>
                <c:ptCount val="16"/>
                <c:pt idx="0">
                  <c:v>70</c:v>
                </c:pt>
                <c:pt idx="1">
                  <c:v>72</c:v>
                </c:pt>
                <c:pt idx="2">
                  <c:v>74</c:v>
                </c:pt>
                <c:pt idx="3">
                  <c:v>76</c:v>
                </c:pt>
                <c:pt idx="4">
                  <c:v>78</c:v>
                </c:pt>
                <c:pt idx="5">
                  <c:v>10</c:v>
                </c:pt>
                <c:pt idx="6">
                  <c:v>82</c:v>
                </c:pt>
                <c:pt idx="7">
                  <c:v>84</c:v>
                </c:pt>
                <c:pt idx="8">
                  <c:v>86</c:v>
                </c:pt>
                <c:pt idx="9">
                  <c:v>88</c:v>
                </c:pt>
                <c:pt idx="10">
                  <c:v>90</c:v>
                </c:pt>
                <c:pt idx="11">
                  <c:v>92</c:v>
                </c:pt>
                <c:pt idx="12">
                  <c:v>94</c:v>
                </c:pt>
                <c:pt idx="13">
                  <c:v>96</c:v>
                </c:pt>
                <c:pt idx="14">
                  <c:v>98</c:v>
                </c:pt>
                <c:pt idx="15">
                  <c:v>100</c:v>
                </c:pt>
              </c:numCache>
            </c:numRef>
          </c:cat>
          <c:val>
            <c:numRef>
              <c:f>Sheet1!$E$3:$E$18</c:f>
              <c:numCache>
                <c:formatCode>General</c:formatCode>
                <c:ptCount val="16"/>
                <c:pt idx="0">
                  <c:v>300</c:v>
                </c:pt>
                <c:pt idx="1">
                  <c:v>240</c:v>
                </c:pt>
                <c:pt idx="2">
                  <c:v>200</c:v>
                </c:pt>
                <c:pt idx="3">
                  <c:v>160</c:v>
                </c:pt>
                <c:pt idx="4">
                  <c:v>130</c:v>
                </c:pt>
                <c:pt idx="5">
                  <c:v>100</c:v>
                </c:pt>
                <c:pt idx="6">
                  <c:v>80</c:v>
                </c:pt>
                <c:pt idx="7">
                  <c:v>70</c:v>
                </c:pt>
                <c:pt idx="8">
                  <c:v>60</c:v>
                </c:pt>
                <c:pt idx="9">
                  <c:v>50</c:v>
                </c:pt>
                <c:pt idx="10">
                  <c:v>40</c:v>
                </c:pt>
                <c:pt idx="11">
                  <c:v>30</c:v>
                </c:pt>
                <c:pt idx="12">
                  <c:v>20</c:v>
                </c:pt>
                <c:pt idx="13">
                  <c:v>10</c:v>
                </c:pt>
                <c:pt idx="14">
                  <c:v>5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41-4FC4-B431-B161E169F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Sheet1!$B$2</c:f>
              <c:strCache>
                <c:ptCount val="1"/>
                <c:pt idx="0">
                  <c:v>MCA (US$/tonne)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Sheet1!$D$1</c:f>
          <c:strCache>
            <c:ptCount val="1"/>
            <c:pt idx="0">
              <c:v>Canada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Sheet1!$D$3:$D$18</c:f>
              <c:numCache>
                <c:formatCode>General</c:formatCode>
                <c:ptCount val="16"/>
                <c:pt idx="0">
                  <c:v>70</c:v>
                </c:pt>
                <c:pt idx="1">
                  <c:v>72</c:v>
                </c:pt>
                <c:pt idx="2">
                  <c:v>74</c:v>
                </c:pt>
                <c:pt idx="3">
                  <c:v>76</c:v>
                </c:pt>
                <c:pt idx="4">
                  <c:v>78</c:v>
                </c:pt>
                <c:pt idx="5">
                  <c:v>10</c:v>
                </c:pt>
                <c:pt idx="6">
                  <c:v>82</c:v>
                </c:pt>
                <c:pt idx="7">
                  <c:v>84</c:v>
                </c:pt>
                <c:pt idx="8">
                  <c:v>86</c:v>
                </c:pt>
                <c:pt idx="9">
                  <c:v>88</c:v>
                </c:pt>
                <c:pt idx="10">
                  <c:v>90</c:v>
                </c:pt>
                <c:pt idx="11">
                  <c:v>92</c:v>
                </c:pt>
                <c:pt idx="12">
                  <c:v>94</c:v>
                </c:pt>
                <c:pt idx="13">
                  <c:v>96</c:v>
                </c:pt>
                <c:pt idx="14">
                  <c:v>98</c:v>
                </c:pt>
                <c:pt idx="15">
                  <c:v>100</c:v>
                </c:pt>
              </c:numCache>
            </c:numRef>
          </c:cat>
          <c:val>
            <c:numRef>
              <c:f>Sheet1!$F$3:$F$18</c:f>
              <c:numCache>
                <c:formatCode>General</c:formatCode>
                <c:ptCount val="16"/>
                <c:pt idx="0">
                  <c:v>2990</c:v>
                </c:pt>
                <c:pt idx="1">
                  <c:v>2390</c:v>
                </c:pt>
                <c:pt idx="2">
                  <c:v>1910</c:v>
                </c:pt>
                <c:pt idx="3">
                  <c:v>1510</c:v>
                </c:pt>
                <c:pt idx="4">
                  <c:v>1190</c:v>
                </c:pt>
                <c:pt idx="5">
                  <c:v>930</c:v>
                </c:pt>
                <c:pt idx="6">
                  <c:v>730</c:v>
                </c:pt>
                <c:pt idx="7">
                  <c:v>570</c:v>
                </c:pt>
                <c:pt idx="8">
                  <c:v>430</c:v>
                </c:pt>
                <c:pt idx="9">
                  <c:v>310</c:v>
                </c:pt>
                <c:pt idx="10">
                  <c:v>210</c:v>
                </c:pt>
                <c:pt idx="11">
                  <c:v>130</c:v>
                </c:pt>
                <c:pt idx="12">
                  <c:v>70</c:v>
                </c:pt>
                <c:pt idx="13">
                  <c:v>30</c:v>
                </c:pt>
                <c:pt idx="14">
                  <c:v>10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BE-47B2-976F-070C944EB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Sheet1!$F$2</c:f>
              <c:strCache>
                <c:ptCount val="1"/>
                <c:pt idx="0">
                  <c:v>TCA (million $)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Sheet1!$G$1</c:f>
          <c:strCache>
            <c:ptCount val="1"/>
            <c:pt idx="0">
              <c:v>EU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Sheet1!$G$3:$G$18</c:f>
              <c:numCache>
                <c:formatCode>General</c:formatCode>
                <c:ptCount val="16"/>
                <c:pt idx="0">
                  <c:v>560</c:v>
                </c:pt>
                <c:pt idx="1">
                  <c:v>576</c:v>
                </c:pt>
                <c:pt idx="2">
                  <c:v>592</c:v>
                </c:pt>
                <c:pt idx="3">
                  <c:v>608</c:v>
                </c:pt>
                <c:pt idx="4">
                  <c:v>624</c:v>
                </c:pt>
                <c:pt idx="5">
                  <c:v>640</c:v>
                </c:pt>
                <c:pt idx="6">
                  <c:v>656</c:v>
                </c:pt>
                <c:pt idx="7">
                  <c:v>672</c:v>
                </c:pt>
                <c:pt idx="8">
                  <c:v>688</c:v>
                </c:pt>
                <c:pt idx="9">
                  <c:v>704</c:v>
                </c:pt>
                <c:pt idx="10">
                  <c:v>720</c:v>
                </c:pt>
                <c:pt idx="11">
                  <c:v>736</c:v>
                </c:pt>
                <c:pt idx="12">
                  <c:v>752</c:v>
                </c:pt>
                <c:pt idx="13">
                  <c:v>768</c:v>
                </c:pt>
                <c:pt idx="14">
                  <c:v>784</c:v>
                </c:pt>
                <c:pt idx="15">
                  <c:v>800</c:v>
                </c:pt>
              </c:numCache>
            </c:numRef>
          </c:cat>
          <c:val>
            <c:numRef>
              <c:f>Sheet1!$H$3:$H$18</c:f>
              <c:numCache>
                <c:formatCode>General</c:formatCode>
                <c:ptCount val="16"/>
                <c:pt idx="0">
                  <c:v>400</c:v>
                </c:pt>
                <c:pt idx="1">
                  <c:v>320</c:v>
                </c:pt>
                <c:pt idx="2">
                  <c:v>260</c:v>
                </c:pt>
                <c:pt idx="3">
                  <c:v>220</c:v>
                </c:pt>
                <c:pt idx="4">
                  <c:v>180</c:v>
                </c:pt>
                <c:pt idx="5">
                  <c:v>140</c:v>
                </c:pt>
                <c:pt idx="6">
                  <c:v>120</c:v>
                </c:pt>
                <c:pt idx="7">
                  <c:v>100</c:v>
                </c:pt>
                <c:pt idx="8">
                  <c:v>80</c:v>
                </c:pt>
                <c:pt idx="9">
                  <c:v>60</c:v>
                </c:pt>
                <c:pt idx="10">
                  <c:v>50</c:v>
                </c:pt>
                <c:pt idx="11">
                  <c:v>40</c:v>
                </c:pt>
                <c:pt idx="12">
                  <c:v>30</c:v>
                </c:pt>
                <c:pt idx="13">
                  <c:v>20</c:v>
                </c:pt>
                <c:pt idx="14">
                  <c:v>10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7B-46AE-8621-B129C8E11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Sheet1!$B$2</c:f>
              <c:strCache>
                <c:ptCount val="1"/>
                <c:pt idx="0">
                  <c:v>MCA (US$/tonne)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Sheet1!$G$1</c:f>
          <c:strCache>
            <c:ptCount val="1"/>
            <c:pt idx="0">
              <c:v>EU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Sheet1!$G$3:$G$18</c:f>
              <c:numCache>
                <c:formatCode>General</c:formatCode>
                <c:ptCount val="16"/>
                <c:pt idx="0">
                  <c:v>560</c:v>
                </c:pt>
                <c:pt idx="1">
                  <c:v>576</c:v>
                </c:pt>
                <c:pt idx="2">
                  <c:v>592</c:v>
                </c:pt>
                <c:pt idx="3">
                  <c:v>608</c:v>
                </c:pt>
                <c:pt idx="4">
                  <c:v>624</c:v>
                </c:pt>
                <c:pt idx="5">
                  <c:v>640</c:v>
                </c:pt>
                <c:pt idx="6">
                  <c:v>656</c:v>
                </c:pt>
                <c:pt idx="7">
                  <c:v>672</c:v>
                </c:pt>
                <c:pt idx="8">
                  <c:v>688</c:v>
                </c:pt>
                <c:pt idx="9">
                  <c:v>704</c:v>
                </c:pt>
                <c:pt idx="10">
                  <c:v>720</c:v>
                </c:pt>
                <c:pt idx="11">
                  <c:v>736</c:v>
                </c:pt>
                <c:pt idx="12">
                  <c:v>752</c:v>
                </c:pt>
                <c:pt idx="13">
                  <c:v>768</c:v>
                </c:pt>
                <c:pt idx="14">
                  <c:v>784</c:v>
                </c:pt>
                <c:pt idx="15">
                  <c:v>800</c:v>
                </c:pt>
              </c:numCache>
            </c:numRef>
          </c:cat>
          <c:val>
            <c:numRef>
              <c:f>Sheet1!$I$3:$I$18</c:f>
              <c:numCache>
                <c:formatCode>General</c:formatCode>
                <c:ptCount val="16"/>
                <c:pt idx="0">
                  <c:v>32480</c:v>
                </c:pt>
                <c:pt idx="1">
                  <c:v>26080</c:v>
                </c:pt>
                <c:pt idx="2">
                  <c:v>20960</c:v>
                </c:pt>
                <c:pt idx="3">
                  <c:v>16800</c:v>
                </c:pt>
                <c:pt idx="4">
                  <c:v>13280</c:v>
                </c:pt>
                <c:pt idx="5">
                  <c:v>10400</c:v>
                </c:pt>
                <c:pt idx="6">
                  <c:v>8160</c:v>
                </c:pt>
                <c:pt idx="7">
                  <c:v>6240</c:v>
                </c:pt>
                <c:pt idx="8">
                  <c:v>4640</c:v>
                </c:pt>
                <c:pt idx="9">
                  <c:v>3360</c:v>
                </c:pt>
                <c:pt idx="10">
                  <c:v>2400</c:v>
                </c:pt>
                <c:pt idx="11">
                  <c:v>1600</c:v>
                </c:pt>
                <c:pt idx="12">
                  <c:v>960</c:v>
                </c:pt>
                <c:pt idx="13">
                  <c:v>480</c:v>
                </c:pt>
                <c:pt idx="14">
                  <c:v>160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0-44FB-B1B0-62A51AFF3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Sheet1!$I$2</c:f>
              <c:strCache>
                <c:ptCount val="1"/>
                <c:pt idx="0">
                  <c:v>TCA (million $)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Sheet1!$J$1</c:f>
          <c:strCache>
            <c:ptCount val="1"/>
            <c:pt idx="0">
              <c:v>Japan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Sheet1!$J$7:$J$18</c:f>
              <c:numCache>
                <c:formatCode>General</c:formatCode>
                <c:ptCount val="12"/>
                <c:pt idx="0">
                  <c:v>234</c:v>
                </c:pt>
                <c:pt idx="1">
                  <c:v>240</c:v>
                </c:pt>
                <c:pt idx="2">
                  <c:v>246</c:v>
                </c:pt>
                <c:pt idx="3">
                  <c:v>252</c:v>
                </c:pt>
                <c:pt idx="4">
                  <c:v>258</c:v>
                </c:pt>
                <c:pt idx="5">
                  <c:v>264</c:v>
                </c:pt>
                <c:pt idx="6">
                  <c:v>270</c:v>
                </c:pt>
                <c:pt idx="7">
                  <c:v>276</c:v>
                </c:pt>
                <c:pt idx="8">
                  <c:v>282</c:v>
                </c:pt>
                <c:pt idx="9">
                  <c:v>288</c:v>
                </c:pt>
                <c:pt idx="10">
                  <c:v>294</c:v>
                </c:pt>
                <c:pt idx="11">
                  <c:v>300</c:v>
                </c:pt>
              </c:numCache>
            </c:numRef>
          </c:cat>
          <c:val>
            <c:numRef>
              <c:f>Sheet1!$K$7:$K$18</c:f>
              <c:numCache>
                <c:formatCode>General</c:formatCode>
                <c:ptCount val="12"/>
                <c:pt idx="0">
                  <c:v>400</c:v>
                </c:pt>
                <c:pt idx="1">
                  <c:v>340</c:v>
                </c:pt>
                <c:pt idx="2">
                  <c:v>260</c:v>
                </c:pt>
                <c:pt idx="3">
                  <c:v>200</c:v>
                </c:pt>
                <c:pt idx="4">
                  <c:v>160</c:v>
                </c:pt>
                <c:pt idx="5">
                  <c:v>120</c:v>
                </c:pt>
                <c:pt idx="6">
                  <c:v>100</c:v>
                </c:pt>
                <c:pt idx="7">
                  <c:v>80</c:v>
                </c:pt>
                <c:pt idx="8">
                  <c:v>60</c:v>
                </c:pt>
                <c:pt idx="9">
                  <c:v>40</c:v>
                </c:pt>
                <c:pt idx="10">
                  <c:v>20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0-42FA-AD27-33FE9EFE1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Sheet1!$B$2</c:f>
              <c:strCache>
                <c:ptCount val="1"/>
                <c:pt idx="0">
                  <c:v>MCA (US$/tonne)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Sheet1!$J$1</c:f>
          <c:strCache>
            <c:ptCount val="1"/>
            <c:pt idx="0">
              <c:v>Japan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Sheet1!$J$7:$J$18</c:f>
              <c:numCache>
                <c:formatCode>General</c:formatCode>
                <c:ptCount val="12"/>
                <c:pt idx="0">
                  <c:v>234</c:v>
                </c:pt>
                <c:pt idx="1">
                  <c:v>240</c:v>
                </c:pt>
                <c:pt idx="2">
                  <c:v>246</c:v>
                </c:pt>
                <c:pt idx="3">
                  <c:v>252</c:v>
                </c:pt>
                <c:pt idx="4">
                  <c:v>258</c:v>
                </c:pt>
                <c:pt idx="5">
                  <c:v>264</c:v>
                </c:pt>
                <c:pt idx="6">
                  <c:v>270</c:v>
                </c:pt>
                <c:pt idx="7">
                  <c:v>276</c:v>
                </c:pt>
                <c:pt idx="8">
                  <c:v>282</c:v>
                </c:pt>
                <c:pt idx="9">
                  <c:v>288</c:v>
                </c:pt>
                <c:pt idx="10">
                  <c:v>294</c:v>
                </c:pt>
                <c:pt idx="11">
                  <c:v>300</c:v>
                </c:pt>
              </c:numCache>
            </c:numRef>
          </c:cat>
          <c:val>
            <c:numRef>
              <c:f>Sheet1!$L$7:$L$18</c:f>
              <c:numCache>
                <c:formatCode>General</c:formatCode>
                <c:ptCount val="12"/>
                <c:pt idx="0">
                  <c:v>10680</c:v>
                </c:pt>
                <c:pt idx="1">
                  <c:v>8210</c:v>
                </c:pt>
                <c:pt idx="2">
                  <c:v>6240</c:v>
                </c:pt>
                <c:pt idx="3">
                  <c:v>4680</c:v>
                </c:pt>
                <c:pt idx="4">
                  <c:v>3430</c:v>
                </c:pt>
                <c:pt idx="5">
                  <c:v>2520</c:v>
                </c:pt>
                <c:pt idx="6">
                  <c:v>1800</c:v>
                </c:pt>
                <c:pt idx="7">
                  <c:v>1200</c:v>
                </c:pt>
                <c:pt idx="8">
                  <c:v>720</c:v>
                </c:pt>
                <c:pt idx="9">
                  <c:v>360</c:v>
                </c:pt>
                <c:pt idx="10">
                  <c:v>120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D-4AAC-BBC6-0C51C3A4C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Sheet1!$I$2</c:f>
              <c:strCache>
                <c:ptCount val="1"/>
                <c:pt idx="0">
                  <c:v>TCA (million $)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Sheet1!$M$1</c:f>
          <c:strCache>
            <c:ptCount val="1"/>
            <c:pt idx="0">
              <c:v>US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1870603674540682"/>
          <c:y val="0.10689814814814817"/>
          <c:w val="0.85073840769903775"/>
          <c:h val="0.7181570265927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TCA (million 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Sheet1!$M$3:$M$18</c:f>
              <c:numCache>
                <c:formatCode>General</c:formatCode>
                <c:ptCount val="16"/>
                <c:pt idx="0">
                  <c:v>980</c:v>
                </c:pt>
                <c:pt idx="1">
                  <c:v>1008</c:v>
                </c:pt>
                <c:pt idx="2">
                  <c:v>1036</c:v>
                </c:pt>
                <c:pt idx="3">
                  <c:v>1064</c:v>
                </c:pt>
                <c:pt idx="4">
                  <c:v>1092</c:v>
                </c:pt>
                <c:pt idx="5">
                  <c:v>1120</c:v>
                </c:pt>
                <c:pt idx="6">
                  <c:v>1148</c:v>
                </c:pt>
                <c:pt idx="7">
                  <c:v>1176</c:v>
                </c:pt>
                <c:pt idx="8">
                  <c:v>1204</c:v>
                </c:pt>
                <c:pt idx="9">
                  <c:v>1232</c:v>
                </c:pt>
                <c:pt idx="10">
                  <c:v>1260</c:v>
                </c:pt>
                <c:pt idx="11">
                  <c:v>1288</c:v>
                </c:pt>
                <c:pt idx="12">
                  <c:v>1316</c:v>
                </c:pt>
                <c:pt idx="13">
                  <c:v>1344</c:v>
                </c:pt>
                <c:pt idx="14">
                  <c:v>1372</c:v>
                </c:pt>
                <c:pt idx="15">
                  <c:v>1400</c:v>
                </c:pt>
              </c:numCache>
            </c:numRef>
          </c:cat>
          <c:val>
            <c:numRef>
              <c:f>Sheet1!$N$3:$N$18</c:f>
              <c:numCache>
                <c:formatCode>General</c:formatCode>
                <c:ptCount val="16"/>
                <c:pt idx="0">
                  <c:v>200</c:v>
                </c:pt>
                <c:pt idx="1">
                  <c:v>160</c:v>
                </c:pt>
                <c:pt idx="2">
                  <c:v>120</c:v>
                </c:pt>
                <c:pt idx="3">
                  <c:v>100</c:v>
                </c:pt>
                <c:pt idx="4">
                  <c:v>80</c:v>
                </c:pt>
                <c:pt idx="5">
                  <c:v>60</c:v>
                </c:pt>
                <c:pt idx="6">
                  <c:v>50</c:v>
                </c:pt>
                <c:pt idx="7">
                  <c:v>40</c:v>
                </c:pt>
                <c:pt idx="8">
                  <c:v>35</c:v>
                </c:pt>
                <c:pt idx="9">
                  <c:v>30</c:v>
                </c:pt>
                <c:pt idx="10">
                  <c:v>25</c:v>
                </c:pt>
                <c:pt idx="11">
                  <c:v>20</c:v>
                </c:pt>
                <c:pt idx="12">
                  <c:v>15</c:v>
                </c:pt>
                <c:pt idx="13">
                  <c:v>10</c:v>
                </c:pt>
                <c:pt idx="14">
                  <c:v>5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6-4CA9-9CC4-0C4DE228E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-1"/>
        <c:axId val="725686232"/>
        <c:axId val="725686560"/>
      </c:barChart>
      <c:catAx>
        <c:axId val="725686232"/>
        <c:scaling>
          <c:orientation val="minMax"/>
        </c:scaling>
        <c:delete val="0"/>
        <c:axPos val="b"/>
        <c:title>
          <c:tx>
            <c:strRef>
              <c:f>Sheet1!$A$2</c:f>
              <c:strCache>
                <c:ptCount val="1"/>
                <c:pt idx="0">
                  <c:v>Emission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560"/>
        <c:crosses val="autoZero"/>
        <c:auto val="1"/>
        <c:lblAlgn val="ctr"/>
        <c:lblOffset val="100"/>
        <c:noMultiLvlLbl val="0"/>
      </c:catAx>
      <c:valAx>
        <c:axId val="725686560"/>
        <c:scaling>
          <c:orientation val="minMax"/>
        </c:scaling>
        <c:delete val="0"/>
        <c:axPos val="l"/>
        <c:title>
          <c:tx>
            <c:strRef>
              <c:f>Sheet1!$B$2</c:f>
              <c:strCache>
                <c:ptCount val="1"/>
                <c:pt idx="0">
                  <c:v>MCA (US$/tonne)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256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Knutsson</dc:creator>
  <cp:keywords/>
  <dc:description/>
  <cp:lastModifiedBy>Jesper Knutsson</cp:lastModifiedBy>
  <cp:revision>1</cp:revision>
  <dcterms:created xsi:type="dcterms:W3CDTF">2023-01-17T13:00:00Z</dcterms:created>
  <dcterms:modified xsi:type="dcterms:W3CDTF">2023-01-17T13:05:00Z</dcterms:modified>
</cp:coreProperties>
</file>